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F90D9" w14:textId="77777777" w:rsidR="008E5731" w:rsidRPr="008F51DA" w:rsidRDefault="00000000">
      <w:pPr>
        <w:pStyle w:val="Nagwek1"/>
        <w:spacing w:after="300"/>
        <w:jc w:val="center"/>
        <w:rPr>
          <w:color w:val="000000" w:themeColor="text1"/>
        </w:rPr>
      </w:pPr>
      <w:r w:rsidRPr="008F51DA">
        <w:rPr>
          <w:b/>
          <w:bCs/>
          <w:color w:val="000000" w:themeColor="text1"/>
        </w:rPr>
        <w:t>CHECKLISTA: NA CO ZWRÓCIĆ UWAGĘ PRZED PODPISANIEM UMOWY DEWELOPERSKIEJ</w:t>
      </w:r>
    </w:p>
    <w:p w14:paraId="66B4C094" w14:textId="77777777" w:rsidR="008E5731" w:rsidRPr="008F51DA" w:rsidRDefault="00000000">
      <w:pPr>
        <w:spacing w:after="160"/>
        <w:jc w:val="both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Umowa deweloperska jest obszerna i techniczna — poniższa lista pomoże Ci zwrócić uwagę na najważniejsze kwestie przed jej podpisaniem.</w:t>
      </w:r>
    </w:p>
    <w:p w14:paraId="3F4CCF3F" w14:textId="77777777" w:rsidR="008E5731" w:rsidRPr="008F51DA" w:rsidRDefault="00000000">
      <w:pPr>
        <w:pStyle w:val="Nagwek2"/>
        <w:spacing w:before="240" w:after="120"/>
        <w:rPr>
          <w:color w:val="000000" w:themeColor="text1"/>
        </w:rPr>
      </w:pPr>
      <w:r w:rsidRPr="008F51DA">
        <w:rPr>
          <w:b/>
          <w:bCs/>
          <w:color w:val="000000" w:themeColor="text1"/>
        </w:rPr>
        <w:t>1. Dokumenty i status prawny inwestycji</w:t>
      </w:r>
    </w:p>
    <w:p w14:paraId="00B789CB" w14:textId="77777777" w:rsidR="008E5731" w:rsidRPr="008F51DA" w:rsidRDefault="00000000" w:rsidP="008F51DA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deweloper udostępnił aktualny prospekt informacyjny inwestycji?</w:t>
      </w:r>
    </w:p>
    <w:p w14:paraId="1C2DE56C" w14:textId="77777777" w:rsidR="008E5731" w:rsidRPr="008F51DA" w:rsidRDefault="00000000" w:rsidP="008F51DA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sprawdzono księgę wieczystą nieruchomości (właściciel, obciążenia, hipoteki, roszczenia osób trzecich)?</w:t>
      </w:r>
    </w:p>
    <w:p w14:paraId="27C72E50" w14:textId="77777777" w:rsidR="008E5731" w:rsidRPr="008F51DA" w:rsidRDefault="00000000" w:rsidP="008F51DA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deweloper posiada pozwolenie na budowę / zgłoszenie budowy dla danej inwestycji?</w:t>
      </w:r>
    </w:p>
    <w:p w14:paraId="1F487C62" w14:textId="77777777" w:rsidR="008E5731" w:rsidRPr="008F51DA" w:rsidRDefault="00000000">
      <w:pPr>
        <w:pStyle w:val="Nagwek2"/>
        <w:spacing w:before="240" w:after="120"/>
        <w:rPr>
          <w:color w:val="000000" w:themeColor="text1"/>
        </w:rPr>
      </w:pPr>
      <w:r w:rsidRPr="008F51DA">
        <w:rPr>
          <w:b/>
          <w:bCs/>
          <w:color w:val="000000" w:themeColor="text1"/>
        </w:rPr>
        <w:t>2. Zabezpieczenie środków kupującego</w:t>
      </w:r>
    </w:p>
    <w:p w14:paraId="3AD8781B" w14:textId="77777777" w:rsidR="008E5731" w:rsidRPr="008F51DA" w:rsidRDefault="00000000" w:rsidP="008F51DA">
      <w:pPr>
        <w:pStyle w:val="Akapitzlist"/>
        <w:numPr>
          <w:ilvl w:val="0"/>
          <w:numId w:val="5"/>
        </w:numPr>
        <w:spacing w:after="100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środki wpłacane są na mieszkaniowy rachunek powierniczy (otwarty czy zamknięty)?</w:t>
      </w:r>
    </w:p>
    <w:p w14:paraId="1D84845B" w14:textId="77777777" w:rsidR="008E5731" w:rsidRPr="008F51DA" w:rsidRDefault="00000000" w:rsidP="008F51DA">
      <w:pPr>
        <w:pStyle w:val="Akapitzlist"/>
        <w:numPr>
          <w:ilvl w:val="0"/>
          <w:numId w:val="5"/>
        </w:numPr>
        <w:spacing w:after="100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umowa jasno określa harmonogram wpłat powiązany z etapami budowy?</w:t>
      </w:r>
    </w:p>
    <w:p w14:paraId="7FD65F70" w14:textId="77777777" w:rsidR="008E5731" w:rsidRPr="008F51DA" w:rsidRDefault="00000000">
      <w:pPr>
        <w:pStyle w:val="Nagwek2"/>
        <w:spacing w:before="240" w:after="120"/>
        <w:rPr>
          <w:color w:val="000000" w:themeColor="text1"/>
        </w:rPr>
      </w:pPr>
      <w:r w:rsidRPr="008F51DA">
        <w:rPr>
          <w:b/>
          <w:bCs/>
          <w:color w:val="000000" w:themeColor="text1"/>
        </w:rPr>
        <w:t>3. Przedmiot umowy i standard wykończenia</w:t>
      </w:r>
    </w:p>
    <w:p w14:paraId="5E18375C" w14:textId="77777777" w:rsidR="008E5731" w:rsidRPr="008F51DA" w:rsidRDefault="00000000" w:rsidP="008F51DA">
      <w:pPr>
        <w:pStyle w:val="Akapitzlist"/>
        <w:numPr>
          <w:ilvl w:val="0"/>
          <w:numId w:val="6"/>
        </w:numPr>
        <w:spacing w:after="100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metraż, układ pomieszczeń i standard wykończenia są precyzyjnie opisane (najlepiej w załączniku)?</w:t>
      </w:r>
    </w:p>
    <w:p w14:paraId="62109F02" w14:textId="77777777" w:rsidR="008E5731" w:rsidRPr="008F51DA" w:rsidRDefault="00000000" w:rsidP="008F51DA">
      <w:pPr>
        <w:pStyle w:val="Akapitzlist"/>
        <w:numPr>
          <w:ilvl w:val="0"/>
          <w:numId w:val="6"/>
        </w:numPr>
        <w:spacing w:after="100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określono dopuszczalne odchylenia metrażu i zasady rozliczenia różnic?</w:t>
      </w:r>
    </w:p>
    <w:p w14:paraId="32B100B8" w14:textId="77777777" w:rsidR="008E5731" w:rsidRPr="008F51DA" w:rsidRDefault="00000000">
      <w:pPr>
        <w:pStyle w:val="Nagwek2"/>
        <w:spacing w:before="240" w:after="120"/>
        <w:rPr>
          <w:color w:val="000000" w:themeColor="text1"/>
        </w:rPr>
      </w:pPr>
      <w:r w:rsidRPr="008F51DA">
        <w:rPr>
          <w:b/>
          <w:bCs/>
          <w:color w:val="000000" w:themeColor="text1"/>
        </w:rPr>
        <w:t>4. Terminy i kary umowne</w:t>
      </w:r>
    </w:p>
    <w:p w14:paraId="4B756963" w14:textId="77777777" w:rsidR="008E5731" w:rsidRPr="008F51DA" w:rsidRDefault="00000000" w:rsidP="008F51DA">
      <w:pPr>
        <w:pStyle w:val="Akapitzlist"/>
        <w:numPr>
          <w:ilvl w:val="0"/>
          <w:numId w:val="7"/>
        </w:numPr>
        <w:spacing w:after="100"/>
        <w:ind w:left="567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określono konkretny termin zawarcia umowy przenoszącej własność oraz termin wydania lokalu?</w:t>
      </w:r>
    </w:p>
    <w:p w14:paraId="7258CCEF" w14:textId="77777777" w:rsidR="008E5731" w:rsidRPr="008F51DA" w:rsidRDefault="00000000" w:rsidP="008F51DA">
      <w:pPr>
        <w:pStyle w:val="Akapitzlist"/>
        <w:numPr>
          <w:ilvl w:val="0"/>
          <w:numId w:val="7"/>
        </w:numPr>
        <w:spacing w:after="100"/>
        <w:ind w:left="567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kary umowne za opóźnienie są symetryczne — obowiązują obie strony, a nie tylko kupującego?</w:t>
      </w:r>
    </w:p>
    <w:p w14:paraId="53BAE216" w14:textId="77777777" w:rsidR="008E5731" w:rsidRPr="008F51DA" w:rsidRDefault="00000000">
      <w:pPr>
        <w:pStyle w:val="Nagwek2"/>
        <w:spacing w:before="240" w:after="120"/>
        <w:rPr>
          <w:color w:val="000000" w:themeColor="text1"/>
        </w:rPr>
      </w:pPr>
      <w:r w:rsidRPr="008F51DA">
        <w:rPr>
          <w:b/>
          <w:bCs/>
          <w:color w:val="000000" w:themeColor="text1"/>
        </w:rPr>
        <w:t>5. Odbiór lokalu i rękojmia</w:t>
      </w:r>
    </w:p>
    <w:p w14:paraId="43804A2C" w14:textId="77777777" w:rsidR="008E5731" w:rsidRPr="008F51DA" w:rsidRDefault="00000000" w:rsidP="008F51DA">
      <w:pPr>
        <w:pStyle w:val="Akapitzlist"/>
        <w:numPr>
          <w:ilvl w:val="0"/>
          <w:numId w:val="8"/>
        </w:numPr>
        <w:spacing w:after="100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umowa opisuje procedurę odbioru technicznego lokalu i zgłaszania wad?</w:t>
      </w:r>
    </w:p>
    <w:p w14:paraId="2BAA4E35" w14:textId="77777777" w:rsidR="008E5731" w:rsidRPr="008F51DA" w:rsidRDefault="00000000" w:rsidP="008F51DA">
      <w:pPr>
        <w:pStyle w:val="Akapitzlist"/>
        <w:numPr>
          <w:ilvl w:val="0"/>
          <w:numId w:val="8"/>
        </w:numPr>
        <w:spacing w:after="100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jasno wskazano zasady odpowiedzialności dewelopera z tytułu rękojmi za wady?</w:t>
      </w:r>
    </w:p>
    <w:p w14:paraId="3F870106" w14:textId="77777777" w:rsidR="008E5731" w:rsidRPr="008F51DA" w:rsidRDefault="00000000">
      <w:pPr>
        <w:pStyle w:val="Nagwek2"/>
        <w:spacing w:before="240" w:after="120"/>
        <w:rPr>
          <w:color w:val="000000" w:themeColor="text1"/>
        </w:rPr>
      </w:pPr>
      <w:r w:rsidRPr="008F51DA">
        <w:rPr>
          <w:b/>
          <w:bCs/>
          <w:color w:val="000000" w:themeColor="text1"/>
        </w:rPr>
        <w:t>6. Warunki odstąpienia</w:t>
      </w:r>
    </w:p>
    <w:p w14:paraId="393F1EBE" w14:textId="77777777" w:rsidR="008E5731" w:rsidRPr="008F51DA" w:rsidRDefault="00000000" w:rsidP="008F51DA">
      <w:pPr>
        <w:pStyle w:val="Akapitzlist"/>
        <w:numPr>
          <w:ilvl w:val="0"/>
          <w:numId w:val="9"/>
        </w:numPr>
        <w:spacing w:after="100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umowa wskazuje sytuacje, w których kupujący może odstąpić od umowy bez utraty wpłaconych środków?</w:t>
      </w:r>
    </w:p>
    <w:p w14:paraId="458B3784" w14:textId="77777777" w:rsidR="008E5731" w:rsidRPr="008F51DA" w:rsidRDefault="00000000" w:rsidP="008F51DA">
      <w:pPr>
        <w:pStyle w:val="Akapitzlist"/>
        <w:numPr>
          <w:ilvl w:val="0"/>
          <w:numId w:val="9"/>
        </w:numPr>
        <w:spacing w:after="100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Czy zapisy o odstąpieniu są zgodne z ustawą deweloperską, a nie mniej korzystne dla kupującego?</w:t>
      </w:r>
    </w:p>
    <w:p w14:paraId="0DBAA83E" w14:textId="77777777" w:rsidR="008F51DA" w:rsidRDefault="008F51DA">
      <w:pPr>
        <w:spacing w:after="160"/>
        <w:jc w:val="both"/>
        <w:rPr>
          <w:color w:val="000000" w:themeColor="text1"/>
          <w:sz w:val="22"/>
          <w:szCs w:val="22"/>
        </w:rPr>
      </w:pPr>
    </w:p>
    <w:p w14:paraId="22F523F1" w14:textId="77777777" w:rsidR="008F51DA" w:rsidRDefault="008F51DA">
      <w:pPr>
        <w:spacing w:after="160"/>
        <w:jc w:val="both"/>
        <w:rPr>
          <w:color w:val="000000" w:themeColor="text1"/>
          <w:sz w:val="22"/>
          <w:szCs w:val="22"/>
        </w:rPr>
      </w:pPr>
    </w:p>
    <w:p w14:paraId="483002E9" w14:textId="77777777" w:rsidR="008F51DA" w:rsidRDefault="008F51DA">
      <w:pPr>
        <w:spacing w:after="160"/>
        <w:jc w:val="both"/>
        <w:rPr>
          <w:color w:val="000000" w:themeColor="text1"/>
          <w:sz w:val="22"/>
          <w:szCs w:val="22"/>
        </w:rPr>
      </w:pPr>
    </w:p>
    <w:p w14:paraId="2DCBE318" w14:textId="77777777" w:rsidR="008F51DA" w:rsidRDefault="008F51DA">
      <w:pPr>
        <w:spacing w:after="160"/>
        <w:jc w:val="both"/>
        <w:rPr>
          <w:color w:val="000000" w:themeColor="text1"/>
          <w:sz w:val="22"/>
          <w:szCs w:val="22"/>
        </w:rPr>
      </w:pPr>
    </w:p>
    <w:p w14:paraId="08DD8A4A" w14:textId="74EC7185" w:rsidR="008E5731" w:rsidRPr="008F51DA" w:rsidRDefault="00000000">
      <w:pPr>
        <w:spacing w:after="160"/>
        <w:jc w:val="both"/>
        <w:rPr>
          <w:color w:val="000000" w:themeColor="text1"/>
        </w:rPr>
      </w:pPr>
      <w:r w:rsidRPr="008F51DA">
        <w:rPr>
          <w:color w:val="000000" w:themeColor="text1"/>
          <w:sz w:val="22"/>
          <w:szCs w:val="22"/>
        </w:rPr>
        <w:t>Umowy deweloperskie zawierają wiele zapisów korzystnych przede wszystkim dla dewelopera — analiza całej umowy przed podpisaniem pozwala wykryć ryzyka niewidoczne na pierwszy rzut oka.</w:t>
      </w:r>
    </w:p>
    <w:p w14:paraId="360EE95D" w14:textId="77777777" w:rsidR="008E5731" w:rsidRPr="008F51DA" w:rsidRDefault="00000000">
      <w:pPr>
        <w:pBdr>
          <w:top w:val="single" w:sz="6" w:space="8" w:color="AAAAAA"/>
        </w:pBdr>
        <w:spacing w:before="400"/>
        <w:rPr>
          <w:color w:val="000000" w:themeColor="text1"/>
        </w:rPr>
      </w:pPr>
      <w:r w:rsidRPr="008F51DA">
        <w:rPr>
          <w:i/>
          <w:iCs/>
          <w:color w:val="000000" w:themeColor="text1"/>
          <w:sz w:val="18"/>
          <w:szCs w:val="18"/>
        </w:rPr>
        <w:t>Niniejszy dokument ma charakter wzoru poglądowego i wymaga dostosowania do konkretnej sytuacji faktycznej i prawnej. Nie stanowi porady prawnej. Przed jego wykorzystaniem zalecana jest konsultacja z adwokatem.</w:t>
      </w:r>
    </w:p>
    <w:p w14:paraId="751B5C44" w14:textId="77777777" w:rsidR="008E5731" w:rsidRPr="008F51DA" w:rsidRDefault="00000000">
      <w:pPr>
        <w:spacing w:before="200"/>
        <w:jc w:val="center"/>
        <w:rPr>
          <w:color w:val="000000" w:themeColor="text1"/>
        </w:rPr>
      </w:pPr>
      <w:r w:rsidRPr="008F51DA">
        <w:rPr>
          <w:color w:val="000000" w:themeColor="text1"/>
          <w:sz w:val="16"/>
          <w:szCs w:val="16"/>
        </w:rPr>
        <w:t>Kancelaria Adwokacka Magdalena Kałaska  •  ul. Obywatelska 26 lok. 3, 02-409 Warszawa  •  tel. +48 887 777 877  •  kancelaria@magdalenakalaska.pl</w:t>
      </w:r>
    </w:p>
    <w:sectPr w:rsidR="008E5731" w:rsidRPr="008F51DA">
      <w:pgSz w:w="11906" w:h="16838"/>
      <w:pgMar w:top="1000" w:right="1200" w:bottom="1000" w:left="12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F97"/>
    <w:multiLevelType w:val="hybridMultilevel"/>
    <w:tmpl w:val="22323D88"/>
    <w:lvl w:ilvl="0" w:tplc="D690EF96">
      <w:start w:val="1"/>
      <w:numFmt w:val="bullet"/>
      <w:lvlText w:val="●"/>
      <w:lvlJc w:val="left"/>
      <w:pPr>
        <w:ind w:left="720" w:hanging="360"/>
      </w:pPr>
    </w:lvl>
    <w:lvl w:ilvl="1" w:tplc="17D00C0A">
      <w:start w:val="1"/>
      <w:numFmt w:val="bullet"/>
      <w:lvlText w:val="○"/>
      <w:lvlJc w:val="left"/>
      <w:pPr>
        <w:ind w:left="1440" w:hanging="360"/>
      </w:pPr>
    </w:lvl>
    <w:lvl w:ilvl="2" w:tplc="5E0444E8">
      <w:start w:val="1"/>
      <w:numFmt w:val="bullet"/>
      <w:lvlText w:val="■"/>
      <w:lvlJc w:val="left"/>
      <w:pPr>
        <w:ind w:left="2160" w:hanging="360"/>
      </w:pPr>
    </w:lvl>
    <w:lvl w:ilvl="3" w:tplc="0194FEC2">
      <w:start w:val="1"/>
      <w:numFmt w:val="bullet"/>
      <w:lvlText w:val="●"/>
      <w:lvlJc w:val="left"/>
      <w:pPr>
        <w:ind w:left="2880" w:hanging="360"/>
      </w:pPr>
    </w:lvl>
    <w:lvl w:ilvl="4" w:tplc="12A25810">
      <w:start w:val="1"/>
      <w:numFmt w:val="bullet"/>
      <w:lvlText w:val="○"/>
      <w:lvlJc w:val="left"/>
      <w:pPr>
        <w:ind w:left="3600" w:hanging="360"/>
      </w:pPr>
    </w:lvl>
    <w:lvl w:ilvl="5" w:tplc="CA56E34C">
      <w:start w:val="1"/>
      <w:numFmt w:val="bullet"/>
      <w:lvlText w:val="■"/>
      <w:lvlJc w:val="left"/>
      <w:pPr>
        <w:ind w:left="4320" w:hanging="360"/>
      </w:pPr>
    </w:lvl>
    <w:lvl w:ilvl="6" w:tplc="9FDA07F6">
      <w:start w:val="1"/>
      <w:numFmt w:val="bullet"/>
      <w:lvlText w:val="●"/>
      <w:lvlJc w:val="left"/>
      <w:pPr>
        <w:ind w:left="5040" w:hanging="360"/>
      </w:pPr>
    </w:lvl>
    <w:lvl w:ilvl="7" w:tplc="B644D5C0">
      <w:start w:val="1"/>
      <w:numFmt w:val="bullet"/>
      <w:lvlText w:val="●"/>
      <w:lvlJc w:val="left"/>
      <w:pPr>
        <w:ind w:left="5760" w:hanging="360"/>
      </w:pPr>
    </w:lvl>
    <w:lvl w:ilvl="8" w:tplc="D29E87B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AA7305F"/>
    <w:multiLevelType w:val="hybridMultilevel"/>
    <w:tmpl w:val="E51019EE"/>
    <w:lvl w:ilvl="0" w:tplc="46A2454A">
      <w:start w:val="1"/>
      <w:numFmt w:val="bullet"/>
      <w:lvlText w:val="•"/>
      <w:lvlJc w:val="left"/>
      <w:pPr>
        <w:ind w:left="504" w:hanging="288"/>
      </w:pPr>
    </w:lvl>
    <w:lvl w:ilvl="1" w:tplc="91F03162">
      <w:numFmt w:val="decimal"/>
      <w:lvlText w:val=""/>
      <w:lvlJc w:val="left"/>
    </w:lvl>
    <w:lvl w:ilvl="2" w:tplc="C88C1A38">
      <w:numFmt w:val="decimal"/>
      <w:lvlText w:val=""/>
      <w:lvlJc w:val="left"/>
    </w:lvl>
    <w:lvl w:ilvl="3" w:tplc="33B86BFA">
      <w:numFmt w:val="decimal"/>
      <w:lvlText w:val=""/>
      <w:lvlJc w:val="left"/>
    </w:lvl>
    <w:lvl w:ilvl="4" w:tplc="F79A9A34">
      <w:numFmt w:val="decimal"/>
      <w:lvlText w:val=""/>
      <w:lvlJc w:val="left"/>
    </w:lvl>
    <w:lvl w:ilvl="5" w:tplc="221A86D8">
      <w:numFmt w:val="decimal"/>
      <w:lvlText w:val=""/>
      <w:lvlJc w:val="left"/>
    </w:lvl>
    <w:lvl w:ilvl="6" w:tplc="8D22BDAE">
      <w:numFmt w:val="decimal"/>
      <w:lvlText w:val=""/>
      <w:lvlJc w:val="left"/>
    </w:lvl>
    <w:lvl w:ilvl="7" w:tplc="2B5CF0AE">
      <w:numFmt w:val="decimal"/>
      <w:lvlText w:val=""/>
      <w:lvlJc w:val="left"/>
    </w:lvl>
    <w:lvl w:ilvl="8" w:tplc="EFFACCC2">
      <w:numFmt w:val="decimal"/>
      <w:lvlText w:val=""/>
      <w:lvlJc w:val="left"/>
    </w:lvl>
  </w:abstractNum>
  <w:abstractNum w:abstractNumId="2" w15:restartNumberingAfterBreak="0">
    <w:nsid w:val="37BB3A29"/>
    <w:multiLevelType w:val="hybridMultilevel"/>
    <w:tmpl w:val="C05297E2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55D54BA"/>
    <w:multiLevelType w:val="hybridMultilevel"/>
    <w:tmpl w:val="0DE45290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0D36F5D"/>
    <w:multiLevelType w:val="hybridMultilevel"/>
    <w:tmpl w:val="3BFCA436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B5E7903"/>
    <w:multiLevelType w:val="hybridMultilevel"/>
    <w:tmpl w:val="F7C866F6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CA03F6F"/>
    <w:multiLevelType w:val="hybridMultilevel"/>
    <w:tmpl w:val="778CD682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57B5A32"/>
    <w:multiLevelType w:val="hybridMultilevel"/>
    <w:tmpl w:val="E7B47046"/>
    <w:lvl w:ilvl="0" w:tplc="A16A09FE">
      <w:start w:val="1"/>
      <w:numFmt w:val="bullet"/>
      <w:lvlText w:val=""/>
      <w:lvlJc w:val="left"/>
      <w:pPr>
        <w:ind w:left="9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306473893">
    <w:abstractNumId w:val="0"/>
    <w:lvlOverride w:ilvl="0">
      <w:startOverride w:val="1"/>
    </w:lvlOverride>
  </w:num>
  <w:num w:numId="2" w16cid:durableId="397360563">
    <w:abstractNumId w:val="1"/>
    <w:lvlOverride w:ilvl="0">
      <w:startOverride w:val="1"/>
    </w:lvlOverride>
  </w:num>
  <w:num w:numId="3" w16cid:durableId="1341006473">
    <w:abstractNumId w:val="1"/>
  </w:num>
  <w:num w:numId="4" w16cid:durableId="1169558246">
    <w:abstractNumId w:val="6"/>
  </w:num>
  <w:num w:numId="5" w16cid:durableId="234708875">
    <w:abstractNumId w:val="4"/>
  </w:num>
  <w:num w:numId="6" w16cid:durableId="489833085">
    <w:abstractNumId w:val="3"/>
  </w:num>
  <w:num w:numId="7" w16cid:durableId="127092596">
    <w:abstractNumId w:val="7"/>
  </w:num>
  <w:num w:numId="8" w16cid:durableId="144517705">
    <w:abstractNumId w:val="2"/>
  </w:num>
  <w:num w:numId="9" w16cid:durableId="11494410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731"/>
    <w:rsid w:val="008E5731"/>
    <w:rsid w:val="008F51DA"/>
    <w:rsid w:val="00E4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7C78D"/>
  <w15:docId w15:val="{4B46AA6F-0651-4734-9593-DFE0E190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Magdalena Kałaska</cp:lastModifiedBy>
  <cp:revision>2</cp:revision>
  <dcterms:created xsi:type="dcterms:W3CDTF">2026-08-27T19:06:00Z</dcterms:created>
  <dcterms:modified xsi:type="dcterms:W3CDTF">2026-08-27T19:25:00Z</dcterms:modified>
</cp:coreProperties>
</file>