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A4B4" w14:textId="77777777" w:rsidR="00C43F11" w:rsidRPr="00CC2925" w:rsidRDefault="00000000">
      <w:pPr>
        <w:pStyle w:val="Nagwek1"/>
        <w:spacing w:after="300"/>
        <w:jc w:val="center"/>
        <w:rPr>
          <w:color w:val="000000" w:themeColor="text1"/>
        </w:rPr>
      </w:pPr>
      <w:r w:rsidRPr="00CC2925">
        <w:rPr>
          <w:b/>
          <w:bCs/>
          <w:color w:val="000000" w:themeColor="text1"/>
        </w:rPr>
        <w:t>CHECKLISTA: CO SPRAWDZIĆ PRZED PODPISANIEM UMOWY B2B</w:t>
      </w:r>
    </w:p>
    <w:p w14:paraId="1CE4A171" w14:textId="77777777" w:rsidR="00CC2925" w:rsidRDefault="00000000" w:rsidP="00CC2925">
      <w:pPr>
        <w:spacing w:after="160"/>
        <w:jc w:val="both"/>
        <w:rPr>
          <w:color w:val="000000" w:themeColor="text1"/>
          <w:sz w:val="22"/>
          <w:szCs w:val="22"/>
        </w:rPr>
      </w:pPr>
      <w:r w:rsidRPr="00CC2925">
        <w:rPr>
          <w:color w:val="000000" w:themeColor="text1"/>
          <w:sz w:val="22"/>
          <w:szCs w:val="22"/>
        </w:rPr>
        <w:t>Zanim podpiszesz umowę o współpracy B2B, sprawdź poniższe punkty. Lista pomoże Ci zauważyć zapisy, które warto przeanalizować bardziej szczegółowo lub skonsultować z prawnikiem.</w:t>
      </w:r>
    </w:p>
    <w:p w14:paraId="7766CC26" w14:textId="77777777" w:rsidR="00CC2925" w:rsidRDefault="00CC2925" w:rsidP="00CC2925">
      <w:pPr>
        <w:spacing w:after="160"/>
        <w:jc w:val="both"/>
        <w:rPr>
          <w:color w:val="000000" w:themeColor="text1"/>
          <w:sz w:val="22"/>
          <w:szCs w:val="22"/>
        </w:rPr>
      </w:pPr>
    </w:p>
    <w:p w14:paraId="1132A31C" w14:textId="0A123423" w:rsidR="00C43F11" w:rsidRPr="00CC2925" w:rsidRDefault="00000000" w:rsidP="00CC2925">
      <w:pPr>
        <w:spacing w:after="160"/>
        <w:jc w:val="both"/>
        <w:rPr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Strony i przedmiot umowy</w:t>
      </w:r>
    </w:p>
    <w:p w14:paraId="5EA82DE1" w14:textId="77777777" w:rsidR="00C43F11" w:rsidRPr="00CC2925" w:rsidRDefault="00000000" w:rsidP="00E94C7B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dane stron (nazwa, adres, NIP, KRS/CEIDG) są poprawne i aktualne?</w:t>
      </w:r>
    </w:p>
    <w:p w14:paraId="74F5003B" w14:textId="77777777" w:rsidR="00C43F11" w:rsidRPr="00CC2925" w:rsidRDefault="00000000" w:rsidP="00E94C7B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przedmiot i zakres usług są opisane precyzyjnie, a nie ogólnikowo?</w:t>
      </w:r>
    </w:p>
    <w:p w14:paraId="50788F20" w14:textId="77777777" w:rsidR="00CC2925" w:rsidRPr="00CC2925" w:rsidRDefault="00000000" w:rsidP="00E94C7B">
      <w:pPr>
        <w:pStyle w:val="Akapitzlist"/>
        <w:numPr>
          <w:ilvl w:val="0"/>
          <w:numId w:val="4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jasno określono, co NIE wchodzi w zakres usług (aby uniknąć sporów o zakres obowiązków)?</w:t>
      </w:r>
    </w:p>
    <w:p w14:paraId="608D2889" w14:textId="77777777" w:rsidR="00CC2925" w:rsidRDefault="00CC2925" w:rsidP="00CC2925">
      <w:pPr>
        <w:spacing w:after="100"/>
        <w:rPr>
          <w:b/>
          <w:bCs/>
          <w:color w:val="000000" w:themeColor="text1"/>
        </w:rPr>
      </w:pPr>
    </w:p>
    <w:p w14:paraId="6139898D" w14:textId="1164BC01" w:rsidR="00C43F11" w:rsidRPr="00CC2925" w:rsidRDefault="00000000" w:rsidP="00CC2925">
      <w:pPr>
        <w:spacing w:after="100"/>
        <w:rPr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Wynagrodzenie i płatności</w:t>
      </w:r>
    </w:p>
    <w:p w14:paraId="775EDB08" w14:textId="77777777" w:rsidR="00C43F11" w:rsidRPr="00E94C7B" w:rsidRDefault="00000000" w:rsidP="00E94C7B">
      <w:pPr>
        <w:pStyle w:val="Akapitzlist"/>
        <w:numPr>
          <w:ilvl w:val="0"/>
          <w:numId w:val="5"/>
        </w:numPr>
        <w:spacing w:after="100"/>
        <w:ind w:left="567"/>
        <w:rPr>
          <w:color w:val="000000" w:themeColor="text1"/>
        </w:rPr>
      </w:pPr>
      <w:r w:rsidRPr="00E94C7B">
        <w:rPr>
          <w:color w:val="000000" w:themeColor="text1"/>
          <w:sz w:val="22"/>
          <w:szCs w:val="22"/>
        </w:rPr>
        <w:t>Czy wysokość wynagrodzenia i sposób jego wyliczenia są jednoznaczne?</w:t>
      </w:r>
    </w:p>
    <w:p w14:paraId="0D05C8EE" w14:textId="77777777" w:rsidR="00C43F11" w:rsidRPr="00E94C7B" w:rsidRDefault="00000000" w:rsidP="00E94C7B">
      <w:pPr>
        <w:pStyle w:val="Akapitzlist"/>
        <w:numPr>
          <w:ilvl w:val="0"/>
          <w:numId w:val="5"/>
        </w:numPr>
        <w:spacing w:after="100"/>
        <w:ind w:left="567"/>
        <w:rPr>
          <w:color w:val="000000" w:themeColor="text1"/>
        </w:rPr>
      </w:pPr>
      <w:r w:rsidRPr="00E94C7B">
        <w:rPr>
          <w:color w:val="000000" w:themeColor="text1"/>
          <w:sz w:val="22"/>
          <w:szCs w:val="22"/>
        </w:rPr>
        <w:t>Czy określono terminy płatności oraz konsekwencje opóźnienia (odsetki, kary umowne)?</w:t>
      </w:r>
    </w:p>
    <w:p w14:paraId="1729C81E" w14:textId="77777777" w:rsidR="00CC2925" w:rsidRPr="00E94C7B" w:rsidRDefault="00000000" w:rsidP="00E94C7B">
      <w:pPr>
        <w:pStyle w:val="Akapitzlist"/>
        <w:numPr>
          <w:ilvl w:val="0"/>
          <w:numId w:val="5"/>
        </w:numPr>
        <w:spacing w:after="100"/>
        <w:ind w:left="567"/>
        <w:rPr>
          <w:color w:val="000000" w:themeColor="text1"/>
        </w:rPr>
      </w:pPr>
      <w:r w:rsidRPr="00E94C7B">
        <w:rPr>
          <w:color w:val="000000" w:themeColor="text1"/>
          <w:sz w:val="22"/>
          <w:szCs w:val="22"/>
        </w:rPr>
        <w:t>Czy wskazano, kto ponosi dodatkowe koszty (np. podróże, licencje, materiały)</w:t>
      </w:r>
    </w:p>
    <w:p w14:paraId="03FEF45F" w14:textId="77777777" w:rsidR="00CC2925" w:rsidRDefault="00CC2925" w:rsidP="00CC2925">
      <w:pPr>
        <w:spacing w:after="100"/>
        <w:rPr>
          <w:b/>
          <w:bCs/>
          <w:color w:val="000000" w:themeColor="text1"/>
        </w:rPr>
      </w:pPr>
    </w:p>
    <w:p w14:paraId="619A04A6" w14:textId="6E1DB03D" w:rsidR="00C43F11" w:rsidRPr="00CC2925" w:rsidRDefault="00000000" w:rsidP="00CC2925">
      <w:pPr>
        <w:spacing w:after="100"/>
        <w:rPr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Odpowiedzialność i kary umowne</w:t>
      </w:r>
    </w:p>
    <w:p w14:paraId="6CB13C61" w14:textId="77777777" w:rsidR="00C43F11" w:rsidRPr="00CC2925" w:rsidRDefault="00000000" w:rsidP="00E94C7B">
      <w:pPr>
        <w:pStyle w:val="Akapitzlist"/>
        <w:numPr>
          <w:ilvl w:val="0"/>
          <w:numId w:val="6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kary umowne są proporcjonalne do wartości umowy i ryzyka?</w:t>
      </w:r>
    </w:p>
    <w:p w14:paraId="66663A8A" w14:textId="77777777" w:rsidR="00C43F11" w:rsidRPr="00CC2925" w:rsidRDefault="00000000" w:rsidP="00E94C7B">
      <w:pPr>
        <w:pStyle w:val="Akapitzlist"/>
        <w:numPr>
          <w:ilvl w:val="0"/>
          <w:numId w:val="6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jest górny limit odpowiedzialności (tzw. cap odpowiedzialności)?</w:t>
      </w:r>
    </w:p>
    <w:p w14:paraId="5FB58B44" w14:textId="77777777" w:rsidR="00CC2925" w:rsidRPr="00CC2925" w:rsidRDefault="00000000" w:rsidP="00E94C7B">
      <w:pPr>
        <w:pStyle w:val="Akapitzlist"/>
        <w:numPr>
          <w:ilvl w:val="0"/>
          <w:numId w:val="6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umowa nie przenosi na Ciebie odpowiedzialności za okoliczności, na które nie masz wpływu?</w:t>
      </w:r>
    </w:p>
    <w:p w14:paraId="15418A66" w14:textId="77777777" w:rsidR="00CC2925" w:rsidRDefault="00CC2925" w:rsidP="00CC2925">
      <w:pPr>
        <w:spacing w:after="100"/>
        <w:rPr>
          <w:b/>
          <w:bCs/>
          <w:color w:val="000000" w:themeColor="text1"/>
        </w:rPr>
      </w:pPr>
    </w:p>
    <w:p w14:paraId="18D290DA" w14:textId="2023B773" w:rsidR="00C43F11" w:rsidRPr="00CC2925" w:rsidRDefault="00000000" w:rsidP="00CC2925">
      <w:pPr>
        <w:spacing w:after="100"/>
        <w:rPr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Poufność i własność intelektualna</w:t>
      </w:r>
    </w:p>
    <w:p w14:paraId="610BB62A" w14:textId="77777777" w:rsidR="00C43F11" w:rsidRPr="00CC2925" w:rsidRDefault="00000000" w:rsidP="00E94C7B">
      <w:pPr>
        <w:pStyle w:val="Akapitzlist"/>
        <w:numPr>
          <w:ilvl w:val="0"/>
          <w:numId w:val="7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klauzula poufności jest wzajemna, a nie jednostronna?</w:t>
      </w:r>
    </w:p>
    <w:p w14:paraId="1958413A" w14:textId="77777777" w:rsidR="00C43F11" w:rsidRPr="00CC2925" w:rsidRDefault="00000000" w:rsidP="00E94C7B">
      <w:pPr>
        <w:pStyle w:val="Akapitzlist"/>
        <w:numPr>
          <w:ilvl w:val="0"/>
          <w:numId w:val="7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jasno określono, komu przysługują prawa do stworzonych efektów pracy (prawa autorskie)?</w:t>
      </w:r>
    </w:p>
    <w:p w14:paraId="0AC8E745" w14:textId="77777777" w:rsidR="00CC2925" w:rsidRPr="00CC2925" w:rsidRDefault="00000000" w:rsidP="00E94C7B">
      <w:pPr>
        <w:pStyle w:val="Akapitzlist"/>
        <w:numPr>
          <w:ilvl w:val="0"/>
          <w:numId w:val="7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nie ma w umowie ukrytej, zbyt szerokiej klauzuli o zakazie konkurencji?</w:t>
      </w:r>
    </w:p>
    <w:p w14:paraId="052DBFA7" w14:textId="77777777" w:rsidR="00CC2925" w:rsidRDefault="00CC2925" w:rsidP="00CC2925">
      <w:pPr>
        <w:spacing w:after="100"/>
        <w:rPr>
          <w:b/>
          <w:bCs/>
          <w:color w:val="000000" w:themeColor="text1"/>
        </w:rPr>
      </w:pPr>
    </w:p>
    <w:p w14:paraId="2D71593D" w14:textId="7639097C" w:rsidR="00C43F11" w:rsidRPr="00CC2925" w:rsidRDefault="00000000" w:rsidP="00CC2925">
      <w:pPr>
        <w:spacing w:after="100"/>
        <w:rPr>
          <w:b/>
          <w:bCs/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Czas trwania i zakończenie umowy</w:t>
      </w:r>
    </w:p>
    <w:p w14:paraId="70793E04" w14:textId="77777777" w:rsidR="00C43F11" w:rsidRPr="00CC2925" w:rsidRDefault="00000000" w:rsidP="00E94C7B">
      <w:pPr>
        <w:pStyle w:val="Akapitzlist"/>
        <w:numPr>
          <w:ilvl w:val="0"/>
          <w:numId w:val="8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okres wypowiedzenia jest rozsądny i taki sam dla obu stron?</w:t>
      </w:r>
    </w:p>
    <w:p w14:paraId="66AEAA36" w14:textId="77777777" w:rsidR="00CC2925" w:rsidRPr="00CC2925" w:rsidRDefault="00000000" w:rsidP="00E94C7B">
      <w:pPr>
        <w:pStyle w:val="Akapitzlist"/>
        <w:numPr>
          <w:ilvl w:val="0"/>
          <w:numId w:val="8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określono zasady rozliczenia w razie wcześniejszego zakończenia współpracy?</w:t>
      </w:r>
    </w:p>
    <w:p w14:paraId="5AB3FB26" w14:textId="77777777" w:rsidR="00CC2925" w:rsidRDefault="00CC2925" w:rsidP="00CC2925">
      <w:pPr>
        <w:spacing w:after="100"/>
        <w:rPr>
          <w:b/>
          <w:bCs/>
          <w:color w:val="000000" w:themeColor="text1"/>
        </w:rPr>
      </w:pPr>
    </w:p>
    <w:p w14:paraId="0759E6A4" w14:textId="023F8A94" w:rsidR="00C43F11" w:rsidRPr="00CC2925" w:rsidRDefault="00000000" w:rsidP="00CC2925">
      <w:pPr>
        <w:spacing w:after="100"/>
        <w:rPr>
          <w:color w:val="000000" w:themeColor="text1"/>
          <w:sz w:val="26"/>
          <w:szCs w:val="26"/>
        </w:rPr>
      </w:pPr>
      <w:r w:rsidRPr="00CC2925">
        <w:rPr>
          <w:b/>
          <w:bCs/>
          <w:color w:val="000000" w:themeColor="text1"/>
          <w:sz w:val="26"/>
          <w:szCs w:val="26"/>
        </w:rPr>
        <w:t>Postanowienia formalne</w:t>
      </w:r>
    </w:p>
    <w:p w14:paraId="1EF1E1A5" w14:textId="77777777" w:rsidR="00C43F11" w:rsidRPr="00CC2925" w:rsidRDefault="00000000" w:rsidP="00E94C7B">
      <w:pPr>
        <w:pStyle w:val="Akapitzlist"/>
        <w:numPr>
          <w:ilvl w:val="0"/>
          <w:numId w:val="9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wskazano właściwy sąd lub sposób rozstrzygania sporów (np. mediacja przed sądem)?</w:t>
      </w:r>
    </w:p>
    <w:p w14:paraId="406A3608" w14:textId="77777777" w:rsidR="00C43F11" w:rsidRPr="00CC2925" w:rsidRDefault="00000000" w:rsidP="00E94C7B">
      <w:pPr>
        <w:pStyle w:val="Akapitzlist"/>
        <w:numPr>
          <w:ilvl w:val="0"/>
          <w:numId w:val="9"/>
        </w:numPr>
        <w:spacing w:after="100"/>
        <w:rPr>
          <w:color w:val="000000" w:themeColor="text1"/>
        </w:rPr>
      </w:pPr>
      <w:r w:rsidRPr="00CC2925">
        <w:rPr>
          <w:color w:val="000000" w:themeColor="text1"/>
          <w:sz w:val="22"/>
          <w:szCs w:val="22"/>
        </w:rPr>
        <w:t>Czy umowa odsyła do aktualnych przepisów, a nie do nieobowiązujących już regulacji?</w:t>
      </w:r>
    </w:p>
    <w:p w14:paraId="0F1D495E" w14:textId="77777777" w:rsidR="00CC2925" w:rsidRDefault="00CC2925">
      <w:pPr>
        <w:spacing w:after="160"/>
        <w:jc w:val="both"/>
        <w:rPr>
          <w:color w:val="000000" w:themeColor="text1"/>
          <w:sz w:val="22"/>
          <w:szCs w:val="22"/>
        </w:rPr>
      </w:pPr>
    </w:p>
    <w:p w14:paraId="63EF06E5" w14:textId="77777777" w:rsidR="00CC2925" w:rsidRDefault="00CC2925">
      <w:pPr>
        <w:spacing w:after="160"/>
        <w:jc w:val="both"/>
        <w:rPr>
          <w:color w:val="000000" w:themeColor="text1"/>
          <w:sz w:val="22"/>
          <w:szCs w:val="22"/>
        </w:rPr>
      </w:pPr>
    </w:p>
    <w:p w14:paraId="45A7A87F" w14:textId="63E871E8" w:rsidR="00C43F11" w:rsidRDefault="00000000">
      <w:pPr>
        <w:spacing w:after="160"/>
        <w:jc w:val="both"/>
        <w:rPr>
          <w:color w:val="000000" w:themeColor="text1"/>
          <w:sz w:val="22"/>
          <w:szCs w:val="22"/>
        </w:rPr>
      </w:pPr>
      <w:r w:rsidRPr="00CC2925">
        <w:rPr>
          <w:color w:val="000000" w:themeColor="text1"/>
          <w:sz w:val="22"/>
          <w:szCs w:val="22"/>
        </w:rPr>
        <w:t xml:space="preserve">Jeśli którykolwiek z tych punktów budzi Twoje wątpliwości, warto przeanalizować umowę wspólnie </w:t>
      </w:r>
      <w:r w:rsidR="00CC2925">
        <w:rPr>
          <w:color w:val="000000" w:themeColor="text1"/>
          <w:sz w:val="22"/>
          <w:szCs w:val="22"/>
        </w:rPr>
        <w:br/>
      </w:r>
      <w:r w:rsidRPr="00CC2925">
        <w:rPr>
          <w:color w:val="000000" w:themeColor="text1"/>
          <w:sz w:val="22"/>
          <w:szCs w:val="22"/>
        </w:rPr>
        <w:t>z adwokatem przed jej podpisaniem — to zwykle dużo tańsze niż spór wynikający z niejasnych zapisów.</w:t>
      </w:r>
    </w:p>
    <w:p w14:paraId="4BF7F6F0" w14:textId="77777777" w:rsidR="00C43F11" w:rsidRPr="00CC2925" w:rsidRDefault="00000000">
      <w:pPr>
        <w:pBdr>
          <w:top w:val="single" w:sz="6" w:space="8" w:color="AAAAAA"/>
        </w:pBdr>
        <w:spacing w:before="400"/>
        <w:rPr>
          <w:color w:val="000000" w:themeColor="text1"/>
        </w:rPr>
      </w:pPr>
      <w:r w:rsidRPr="00CC2925">
        <w:rPr>
          <w:i/>
          <w:iCs/>
          <w:color w:val="000000" w:themeColor="text1"/>
          <w:sz w:val="18"/>
          <w:szCs w:val="18"/>
        </w:rPr>
        <w:t>Niniejszy dokument ma charakter wzoru poglądowego i wymaga dostosowania do konkretnej sytuacji faktycznej i prawnej. Nie stanowi porady prawnej. Przed jego wykorzystaniem zalecana jest konsultacja z adwokatem.</w:t>
      </w:r>
    </w:p>
    <w:p w14:paraId="02C9371F" w14:textId="77777777" w:rsidR="00C43F11" w:rsidRPr="00CC2925" w:rsidRDefault="00000000">
      <w:pPr>
        <w:spacing w:before="200"/>
        <w:jc w:val="center"/>
        <w:rPr>
          <w:color w:val="000000" w:themeColor="text1"/>
        </w:rPr>
      </w:pPr>
      <w:r w:rsidRPr="00CC2925">
        <w:rPr>
          <w:color w:val="000000" w:themeColor="text1"/>
          <w:sz w:val="16"/>
          <w:szCs w:val="16"/>
        </w:rPr>
        <w:t>Kancelaria Adwokacka Magdalena Kałaska  •  ul. Obywatelska 26 lok. 3, 02-409 Warszawa  •  tel. +48 887 777 877  •  kancelaria@magdalenakalaska.pl</w:t>
      </w:r>
    </w:p>
    <w:sectPr w:rsidR="00C43F11" w:rsidRPr="00CC2925"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C1B20"/>
    <w:multiLevelType w:val="hybridMultilevel"/>
    <w:tmpl w:val="821CD564"/>
    <w:lvl w:ilvl="0" w:tplc="1AB86B6E">
      <w:start w:val="1"/>
      <w:numFmt w:val="bullet"/>
      <w:lvlText w:val="●"/>
      <w:lvlJc w:val="left"/>
      <w:pPr>
        <w:ind w:left="720" w:hanging="360"/>
      </w:pPr>
    </w:lvl>
    <w:lvl w:ilvl="1" w:tplc="F7900DFA">
      <w:start w:val="1"/>
      <w:numFmt w:val="bullet"/>
      <w:lvlText w:val="○"/>
      <w:lvlJc w:val="left"/>
      <w:pPr>
        <w:ind w:left="1440" w:hanging="360"/>
      </w:pPr>
    </w:lvl>
    <w:lvl w:ilvl="2" w:tplc="6E2619BC">
      <w:start w:val="1"/>
      <w:numFmt w:val="bullet"/>
      <w:lvlText w:val="■"/>
      <w:lvlJc w:val="left"/>
      <w:pPr>
        <w:ind w:left="2160" w:hanging="360"/>
      </w:pPr>
    </w:lvl>
    <w:lvl w:ilvl="3" w:tplc="C77A173C">
      <w:start w:val="1"/>
      <w:numFmt w:val="bullet"/>
      <w:lvlText w:val="●"/>
      <w:lvlJc w:val="left"/>
      <w:pPr>
        <w:ind w:left="2880" w:hanging="360"/>
      </w:pPr>
    </w:lvl>
    <w:lvl w:ilvl="4" w:tplc="AE604AFA">
      <w:start w:val="1"/>
      <w:numFmt w:val="bullet"/>
      <w:lvlText w:val="○"/>
      <w:lvlJc w:val="left"/>
      <w:pPr>
        <w:ind w:left="3600" w:hanging="360"/>
      </w:pPr>
    </w:lvl>
    <w:lvl w:ilvl="5" w:tplc="B8367722">
      <w:start w:val="1"/>
      <w:numFmt w:val="bullet"/>
      <w:lvlText w:val="■"/>
      <w:lvlJc w:val="left"/>
      <w:pPr>
        <w:ind w:left="4320" w:hanging="360"/>
      </w:pPr>
    </w:lvl>
    <w:lvl w:ilvl="6" w:tplc="F48C59CA">
      <w:start w:val="1"/>
      <w:numFmt w:val="bullet"/>
      <w:lvlText w:val="●"/>
      <w:lvlJc w:val="left"/>
      <w:pPr>
        <w:ind w:left="5040" w:hanging="360"/>
      </w:pPr>
    </w:lvl>
    <w:lvl w:ilvl="7" w:tplc="17E87C6A">
      <w:start w:val="1"/>
      <w:numFmt w:val="bullet"/>
      <w:lvlText w:val="●"/>
      <w:lvlJc w:val="left"/>
      <w:pPr>
        <w:ind w:left="5760" w:hanging="360"/>
      </w:pPr>
    </w:lvl>
    <w:lvl w:ilvl="8" w:tplc="5934A15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BF5487"/>
    <w:multiLevelType w:val="hybridMultilevel"/>
    <w:tmpl w:val="B4CC6900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D722291"/>
    <w:multiLevelType w:val="hybridMultilevel"/>
    <w:tmpl w:val="DEB673B2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EE36ECD"/>
    <w:multiLevelType w:val="hybridMultilevel"/>
    <w:tmpl w:val="16806F1C"/>
    <w:lvl w:ilvl="0" w:tplc="F39E9FA0">
      <w:start w:val="1"/>
      <w:numFmt w:val="bullet"/>
      <w:lvlText w:val="•"/>
      <w:lvlJc w:val="left"/>
      <w:pPr>
        <w:ind w:left="504" w:hanging="288"/>
      </w:pPr>
    </w:lvl>
    <w:lvl w:ilvl="1" w:tplc="513004B0">
      <w:numFmt w:val="decimal"/>
      <w:lvlText w:val=""/>
      <w:lvlJc w:val="left"/>
    </w:lvl>
    <w:lvl w:ilvl="2" w:tplc="425ACC64">
      <w:numFmt w:val="decimal"/>
      <w:lvlText w:val=""/>
      <w:lvlJc w:val="left"/>
    </w:lvl>
    <w:lvl w:ilvl="3" w:tplc="BBF670D6">
      <w:numFmt w:val="decimal"/>
      <w:lvlText w:val=""/>
      <w:lvlJc w:val="left"/>
    </w:lvl>
    <w:lvl w:ilvl="4" w:tplc="22185136">
      <w:numFmt w:val="decimal"/>
      <w:lvlText w:val=""/>
      <w:lvlJc w:val="left"/>
    </w:lvl>
    <w:lvl w:ilvl="5" w:tplc="12ACD26A">
      <w:numFmt w:val="decimal"/>
      <w:lvlText w:val=""/>
      <w:lvlJc w:val="left"/>
    </w:lvl>
    <w:lvl w:ilvl="6" w:tplc="B16025AE">
      <w:numFmt w:val="decimal"/>
      <w:lvlText w:val=""/>
      <w:lvlJc w:val="left"/>
    </w:lvl>
    <w:lvl w:ilvl="7" w:tplc="F93643C2">
      <w:numFmt w:val="decimal"/>
      <w:lvlText w:val=""/>
      <w:lvlJc w:val="left"/>
    </w:lvl>
    <w:lvl w:ilvl="8" w:tplc="CD5A90F6">
      <w:numFmt w:val="decimal"/>
      <w:lvlText w:val=""/>
      <w:lvlJc w:val="left"/>
    </w:lvl>
  </w:abstractNum>
  <w:abstractNum w:abstractNumId="4" w15:restartNumberingAfterBreak="0">
    <w:nsid w:val="449B347E"/>
    <w:multiLevelType w:val="hybridMultilevel"/>
    <w:tmpl w:val="C19E56AE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A965A02"/>
    <w:multiLevelType w:val="hybridMultilevel"/>
    <w:tmpl w:val="3F74C432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AD66E07"/>
    <w:multiLevelType w:val="hybridMultilevel"/>
    <w:tmpl w:val="8708D84E"/>
    <w:lvl w:ilvl="0" w:tplc="A16A09FE">
      <w:start w:val="1"/>
      <w:numFmt w:val="bullet"/>
      <w:lvlText w:val="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7C9E7DBF"/>
    <w:multiLevelType w:val="hybridMultilevel"/>
    <w:tmpl w:val="DD12AE06"/>
    <w:lvl w:ilvl="0" w:tplc="A16A09FE">
      <w:start w:val="1"/>
      <w:numFmt w:val="bullet"/>
      <w:lvlText w:val=""/>
      <w:lvlJc w:val="left"/>
      <w:pPr>
        <w:ind w:left="504" w:hanging="288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33009042">
    <w:abstractNumId w:val="0"/>
    <w:lvlOverride w:ilvl="0">
      <w:startOverride w:val="1"/>
    </w:lvlOverride>
  </w:num>
  <w:num w:numId="2" w16cid:durableId="924265765">
    <w:abstractNumId w:val="3"/>
    <w:lvlOverride w:ilvl="0">
      <w:startOverride w:val="1"/>
    </w:lvlOverride>
  </w:num>
  <w:num w:numId="3" w16cid:durableId="1566139640">
    <w:abstractNumId w:val="3"/>
  </w:num>
  <w:num w:numId="4" w16cid:durableId="1234123319">
    <w:abstractNumId w:val="5"/>
  </w:num>
  <w:num w:numId="5" w16cid:durableId="26882203">
    <w:abstractNumId w:val="6"/>
  </w:num>
  <w:num w:numId="6" w16cid:durableId="1287618340">
    <w:abstractNumId w:val="2"/>
  </w:num>
  <w:num w:numId="7" w16cid:durableId="116069315">
    <w:abstractNumId w:val="1"/>
  </w:num>
  <w:num w:numId="8" w16cid:durableId="1679312232">
    <w:abstractNumId w:val="7"/>
  </w:num>
  <w:num w:numId="9" w16cid:durableId="20713397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F11"/>
    <w:rsid w:val="00B52D6D"/>
    <w:rsid w:val="00C43F11"/>
    <w:rsid w:val="00CC2925"/>
    <w:rsid w:val="00E4335B"/>
    <w:rsid w:val="00E9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68EDC"/>
  <w15:docId w15:val="{4B46AA6F-0651-4734-9593-DFE0E19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4</cp:revision>
  <dcterms:created xsi:type="dcterms:W3CDTF">2026-08-27T19:06:00Z</dcterms:created>
  <dcterms:modified xsi:type="dcterms:W3CDTF">2026-08-27T19:15:00Z</dcterms:modified>
</cp:coreProperties>
</file>